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B8" w:rsidRPr="006C4084" w:rsidRDefault="00E71EB8" w:rsidP="00E71EB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6C4084">
        <w:rPr>
          <w:szCs w:val="22"/>
        </w:rPr>
        <w:t xml:space="preserve">Wymagania edukacyjne na poszczególne oceny wynikające z realizacji programu nauczania w oparciu o podręcznik do religii  wydawnictwa Święty Wojciech </w:t>
      </w:r>
      <w:r>
        <w:t>„Szukam dojrzałej wiary</w:t>
      </w:r>
      <w:r>
        <w:rPr>
          <w:color w:val="000000"/>
        </w:rPr>
        <w:t>”</w:t>
      </w:r>
      <w:r>
        <w:rPr>
          <w:szCs w:val="22"/>
        </w:rPr>
        <w:t xml:space="preserve"> dla klasy drugie</w:t>
      </w:r>
      <w:r>
        <w:rPr>
          <w:szCs w:val="22"/>
        </w:rPr>
        <w:t>j</w:t>
      </w:r>
      <w:r w:rsidRPr="006C4084">
        <w:rPr>
          <w:szCs w:val="22"/>
        </w:rPr>
        <w:t xml:space="preserve"> </w:t>
      </w:r>
      <w:r>
        <w:rPr>
          <w:szCs w:val="22"/>
        </w:rPr>
        <w:t>klasy liceum drugiej</w:t>
      </w:r>
      <w:r>
        <w:rPr>
          <w:szCs w:val="22"/>
        </w:rPr>
        <w:t xml:space="preserve"> klasy technikum</w:t>
      </w:r>
      <w:r w:rsidRPr="006C4084">
        <w:rPr>
          <w:szCs w:val="22"/>
        </w:rPr>
        <w:t xml:space="preserve">. </w:t>
      </w:r>
    </w:p>
    <w:p w:rsidR="00E71EB8" w:rsidRPr="006C4084" w:rsidRDefault="00E71EB8" w:rsidP="00E71EB8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>Wersja – 30 jednostek lekcyjnych</w:t>
      </w:r>
    </w:p>
    <w:p w:rsidR="00E71EB8" w:rsidRDefault="00E71EB8" w:rsidP="00E71EB8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 w:rsidRPr="006C4084">
        <w:rPr>
          <w:b w:val="0"/>
          <w:szCs w:val="22"/>
        </w:rPr>
        <w:t>Przedmiot: religia</w:t>
      </w:r>
    </w:p>
    <w:p w:rsidR="00E71EB8" w:rsidRPr="0028415F" w:rsidRDefault="00E71EB8" w:rsidP="00E71EB8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 xml:space="preserve">Program </w:t>
      </w:r>
      <w:r w:rsidRPr="0028415F">
        <w:rPr>
          <w:b w:val="0"/>
          <w:szCs w:val="22"/>
        </w:rPr>
        <w:t xml:space="preserve">– </w:t>
      </w:r>
      <w:r>
        <w:rPr>
          <w:szCs w:val="22"/>
        </w:rPr>
        <w:t xml:space="preserve">AZ-3-01/18 </w:t>
      </w:r>
    </w:p>
    <w:p w:rsidR="00E71EB8" w:rsidRDefault="00E71EB8" w:rsidP="00E71EB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6C4084">
        <w:rPr>
          <w:szCs w:val="22"/>
        </w:rPr>
        <w:t xml:space="preserve">Numer podręcznika:  </w:t>
      </w:r>
      <w:r>
        <w:rPr>
          <w:szCs w:val="22"/>
        </w:rPr>
        <w:t>AZ-32-01/18-PO-6/21</w:t>
      </w:r>
      <w:r>
        <w:rPr>
          <w:szCs w:val="22"/>
        </w:rPr>
        <w:t xml:space="preserve">, zatwierdzenie z dnia </w:t>
      </w:r>
      <w:r>
        <w:rPr>
          <w:szCs w:val="22"/>
        </w:rPr>
        <w:t xml:space="preserve">22 czerwca </w:t>
      </w:r>
      <w:r w:rsidRPr="006C4084">
        <w:rPr>
          <w:szCs w:val="22"/>
        </w:rPr>
        <w:t>202</w:t>
      </w:r>
      <w:r>
        <w:rPr>
          <w:szCs w:val="22"/>
        </w:rPr>
        <w:t>2</w:t>
      </w:r>
      <w:r w:rsidRPr="006C4084">
        <w:rPr>
          <w:szCs w:val="22"/>
        </w:rPr>
        <w:t xml:space="preserve"> r.</w:t>
      </w:r>
    </w:p>
    <w:p w:rsidR="00E71EB8" w:rsidRPr="008D2518" w:rsidRDefault="00E71EB8" w:rsidP="00E71EB8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E71EB8" w:rsidRDefault="00E71EB8" w:rsidP="00E71EB8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 w:rsidRPr="006C4084">
        <w:rPr>
          <w:szCs w:val="22"/>
        </w:rPr>
        <w:t>Treści nauczania</w:t>
      </w:r>
      <w:r w:rsidRPr="008D2518">
        <w:rPr>
          <w:b w:val="0"/>
          <w:szCs w:val="22"/>
        </w:rPr>
        <w:t xml:space="preserve"> wynikające z podstawy programowej</w:t>
      </w:r>
      <w:r>
        <w:rPr>
          <w:b w:val="0"/>
          <w:szCs w:val="22"/>
        </w:rPr>
        <w:t xml:space="preserve"> oraz w</w:t>
      </w:r>
      <w:r w:rsidRPr="008D2518">
        <w:rPr>
          <w:b w:val="0"/>
          <w:szCs w:val="22"/>
        </w:rPr>
        <w:t>ymagania</w:t>
      </w:r>
      <w:r>
        <w:rPr>
          <w:b w:val="0"/>
          <w:szCs w:val="22"/>
        </w:rPr>
        <w:t xml:space="preserve"> dla uczniów dostosowane do każdej jednostki lekcyjnej zawartej w podręczniku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E71EB8" w:rsidRDefault="00E71EB8" w:rsidP="00E71EB8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>
        <w:rPr>
          <w:b w:val="0"/>
          <w:szCs w:val="22"/>
        </w:rPr>
        <w:t xml:space="preserve"> (zgodne w wytycznymi </w:t>
      </w:r>
      <w:r w:rsidRPr="00F47698">
        <w:rPr>
          <w:b w:val="0"/>
          <w:szCs w:val="22"/>
        </w:rPr>
        <w:t>Komisj</w:t>
      </w:r>
      <w:r>
        <w:rPr>
          <w:b w:val="0"/>
          <w:szCs w:val="22"/>
        </w:rPr>
        <w:t>i</w:t>
      </w:r>
      <w:r w:rsidRPr="00F47698">
        <w:rPr>
          <w:b w:val="0"/>
          <w:szCs w:val="22"/>
        </w:rPr>
        <w:t xml:space="preserve"> Wychowania Katolickiego</w:t>
      </w:r>
      <w:r>
        <w:rPr>
          <w:b w:val="0"/>
          <w:szCs w:val="22"/>
        </w:rPr>
        <w:t xml:space="preserve"> </w:t>
      </w:r>
      <w:r w:rsidRPr="00F47698">
        <w:rPr>
          <w:b w:val="0"/>
          <w:szCs w:val="22"/>
        </w:rPr>
        <w:t>Konferencji Episkopatu Polski</w:t>
      </w:r>
      <w:r>
        <w:rPr>
          <w:b w:val="0"/>
          <w:szCs w:val="22"/>
        </w:rPr>
        <w:t xml:space="preserve"> z 2008 r.):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wymagań edukacyjnych niezbędnych do uzyskania poszczególnych ocen śródrocznych i rocznych z religii oraz sposobu sprawdzania osiągnięć edukacyjnych uczniów.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>zobowiązani do dostosowania wymagań edukacyjnych do indywidualnych potrzeb i możliwości psychofizycznych oraz edukacyjnych uczniów posiadających opinie wydane przez poradnie psychologiczno-pedagogiczne.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przyjętymi w szkole (przy dwóch godzinach zajęć w tygodniu, są to najczęściej dwa nieprzygotowania w półroczu).</w:t>
      </w:r>
    </w:p>
    <w:p w:rsidR="00E71EB8" w:rsidRDefault="00E71EB8" w:rsidP="00E71EB8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E71EB8" w:rsidRDefault="00E71EB8" w:rsidP="00E71EB8">
      <w:pPr>
        <w:pStyle w:val="Podtytu"/>
        <w:ind w:left="0"/>
        <w:contextualSpacing/>
        <w:jc w:val="both"/>
        <w:rPr>
          <w:b w:val="0"/>
          <w:szCs w:val="22"/>
        </w:rPr>
      </w:pPr>
    </w:p>
    <w:p w:rsidR="00E71EB8" w:rsidRDefault="00E71EB8" w:rsidP="00E71EB8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 ważnym obszarem jest oceniania aktywności uczniów na zajęciach oraz systematyczność w pracy na lekcji, w tym także prowadzenie i uzupełniania ćwiczeń będących integralną częścią podręcznika. Należy zwracać uwagę na wykonanie przez uczniów quizów sprawdzających wiedzę na zakończenie każdego działu. Można przeprowadzać kartkówki, ale należy je zapowiedzieć i wyraźnie określić zakres materiału.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Szczególną uwagę należy zwrócić na prace dodatkowe wykonywane przez uczniów. Może to być przygotowanie do udziału w konkursach, 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</w:p>
    <w:p w:rsidR="00E71EB8" w:rsidRDefault="00E71EB8" w:rsidP="00E71EB8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E71EB8" w:rsidRDefault="00E71EB8" w:rsidP="00E71EB8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71EB8" w:rsidRDefault="00E71EB8" w:rsidP="00E71EB8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>
        <w:rPr>
          <w:b w:val="0"/>
          <w:szCs w:val="22"/>
        </w:rPr>
        <w:t xml:space="preserve">: 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 systematycznie prowadzi ćwiczenia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wykonuje dodatkowe zadania dla chętnych 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</w:p>
    <w:p w:rsidR="00E71EB8" w:rsidRPr="003870D9" w:rsidRDefault="00E71EB8" w:rsidP="00E71EB8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</w:p>
    <w:p w:rsidR="00E71EB8" w:rsidRPr="003870D9" w:rsidRDefault="00E71EB8" w:rsidP="00E71EB8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</w:p>
    <w:p w:rsidR="00E71EB8" w:rsidRPr="003870D9" w:rsidRDefault="00E71EB8" w:rsidP="00E71EB8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Uczeń: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</w:p>
    <w:p w:rsidR="00E71EB8" w:rsidRPr="003870D9" w:rsidRDefault="00E71EB8" w:rsidP="00E71EB8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E71EB8" w:rsidRPr="00DE5AD9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</w:p>
    <w:p w:rsidR="00E71EB8" w:rsidRPr="003870D9" w:rsidRDefault="00E71EB8" w:rsidP="00E71EB8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E71EB8" w:rsidRDefault="00E71EB8" w:rsidP="00E71EB8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</w:p>
    <w:p w:rsidR="00E71EB8" w:rsidRDefault="00E71EB8" w:rsidP="00E71EB8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E71EB8" w:rsidRDefault="00E71EB8" w:rsidP="00E71EB8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E71EB8" w:rsidRDefault="00E71EB8" w:rsidP="00E71EB8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E71EB8" w:rsidRDefault="00E71EB8" w:rsidP="00E71EB8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E71EB8" w:rsidRDefault="00E71EB8" w:rsidP="00E71EB8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E71EB8" w:rsidRDefault="00E71EB8" w:rsidP="00E71EB8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Wszystkie wystawione oceny są umieszczane na obowiązującej w szkole platformie cyfrowej możliwie jak najszybciej  </w:t>
      </w:r>
    </w:p>
    <w:p w:rsidR="00E71EB8" w:rsidRDefault="00E71EB8" w:rsidP="00E71EB8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E71EB8" w:rsidRDefault="00E71EB8" w:rsidP="00E71EB8">
      <w:pPr>
        <w:pStyle w:val="Akapitzlist"/>
        <w:ind w:left="540"/>
        <w:rPr>
          <w:b/>
        </w:rPr>
      </w:pPr>
    </w:p>
    <w:p w:rsidR="00E71EB8" w:rsidRPr="008A4E48" w:rsidRDefault="00E71EB8" w:rsidP="00E71EB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Szczegółowe wymagania edukacyjne na poszczególne oceny:</w:t>
      </w:r>
    </w:p>
    <w:p w:rsidR="00E71EB8" w:rsidRDefault="00E71EB8" w:rsidP="00E71EB8">
      <w:pPr>
        <w:ind w:left="180"/>
        <w:rPr>
          <w:rFonts w:cs="Times New Roman"/>
          <w:b/>
        </w:rPr>
      </w:pP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2263"/>
        <w:gridCol w:w="2552"/>
        <w:gridCol w:w="2443"/>
        <w:gridCol w:w="2836"/>
        <w:gridCol w:w="2551"/>
        <w:gridCol w:w="710"/>
      </w:tblGrid>
      <w:tr w:rsidR="00E71EB8" w:rsidRPr="002D5096" w:rsidTr="00267965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E71EB8" w:rsidRPr="008A4E48" w:rsidRDefault="00E71EB8" w:rsidP="0026796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A4E48">
              <w:rPr>
                <w:rFonts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2263" w:type="dxa"/>
            <w:vAlign w:val="center"/>
          </w:tcPr>
          <w:p w:rsidR="00E71EB8" w:rsidRPr="008A4E48" w:rsidRDefault="00E71EB8" w:rsidP="0026796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A4E48">
              <w:rPr>
                <w:rFonts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552" w:type="dxa"/>
            <w:vAlign w:val="center"/>
          </w:tcPr>
          <w:p w:rsidR="00E71EB8" w:rsidRPr="008A4E48" w:rsidRDefault="00E71EB8" w:rsidP="00267965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443" w:type="dxa"/>
            <w:vAlign w:val="center"/>
          </w:tcPr>
          <w:p w:rsidR="00E71EB8" w:rsidRPr="008A4E48" w:rsidRDefault="00E71EB8" w:rsidP="0026796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A4E48">
              <w:rPr>
                <w:rFonts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E71EB8" w:rsidRPr="008A4E48" w:rsidRDefault="00E71EB8" w:rsidP="0026796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A4E48">
              <w:rPr>
                <w:rFonts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551" w:type="dxa"/>
            <w:vAlign w:val="center"/>
          </w:tcPr>
          <w:p w:rsidR="00E71EB8" w:rsidRPr="008A4E48" w:rsidRDefault="00E71EB8" w:rsidP="00267965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A4E48">
              <w:rPr>
                <w:rFonts w:cs="Times New Roman"/>
                <w:b/>
                <w:sz w:val="20"/>
                <w:szCs w:val="20"/>
              </w:rPr>
              <w:t>dopuszczający</w:t>
            </w:r>
          </w:p>
        </w:tc>
      </w:tr>
      <w:tr w:rsidR="00E71EB8" w:rsidRPr="007917BE" w:rsidTr="00267965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E71EB8" w:rsidRPr="002D5096" w:rsidRDefault="00E71EB8" w:rsidP="0026796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cs="Times New Roman"/>
                <w:sz w:val="18"/>
                <w:szCs w:val="18"/>
              </w:rPr>
            </w:pPr>
            <w:r w:rsidRPr="002D5096">
              <w:rPr>
                <w:rFonts w:cs="Times New Roman"/>
                <w:sz w:val="18"/>
                <w:szCs w:val="18"/>
              </w:rPr>
              <w:t>I.</w:t>
            </w:r>
            <w:r>
              <w:rPr>
                <w:rFonts w:cs="Times New Roman"/>
                <w:sz w:val="18"/>
                <w:szCs w:val="18"/>
              </w:rPr>
              <w:t xml:space="preserve"> Szukam dojrzałej wiary</w:t>
            </w:r>
          </w:p>
        </w:tc>
        <w:tc>
          <w:tcPr>
            <w:tcW w:w="2263" w:type="dxa"/>
          </w:tcPr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6B7E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</w:t>
            </w:r>
          </w:p>
          <w:p w:rsidR="00E71EB8" w:rsidRPr="007C01E3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identyfikuje się z chrześcijańską koncepcją człowieka i świata oraz konsekwentnie stosuje ją w swoim życiu</w:t>
            </w:r>
          </w:p>
        </w:tc>
        <w:tc>
          <w:tcPr>
            <w:tcW w:w="2552" w:type="dxa"/>
          </w:tcPr>
          <w:p w:rsidR="00E71EB8" w:rsidRPr="00C54696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54696">
              <w:rPr>
                <w:rFonts w:ascii="Times New Roman" w:hAnsi="Times New Roman" w:cs="Times New Roman"/>
                <w:sz w:val="18"/>
                <w:szCs w:val="18"/>
              </w:rPr>
              <w:t>opisuje, czym jest wiara, rozumiana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ako postawa całego życia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54696"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drogi dochodzenia wiary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powinien się otworzyć na poszukiwanie Boga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00A09">
              <w:rPr>
                <w:rFonts w:ascii="Times New Roman" w:hAnsi="Times New Roman" w:cs="Times New Roman"/>
                <w:sz w:val="18"/>
                <w:szCs w:val="18"/>
              </w:rPr>
              <w:t>charakteryzu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 drogi poznania Boga (świat i człowiek)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okoliczności, które wspierają i hamują rozwój wiary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prawdy teologiczne dotyczące Jezusa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rolę doświadczenia Abrahama na Górze Moria w rozwoju wiary dojrzałej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wartość życia kształtowanego w oparciu o cnoty kardynalne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w modlitwie warto wzorować się na świętych</w:t>
            </w:r>
          </w:p>
          <w:p w:rsidR="00E71EB8" w:rsidRPr="00CE7BB9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w jaki sposób rozwijanie cnót prowadzi do samorealizacji</w:t>
            </w:r>
            <w:bookmarkStart w:id="0" w:name="_GoBack"/>
            <w:bookmarkEnd w:id="0"/>
          </w:p>
        </w:tc>
        <w:tc>
          <w:tcPr>
            <w:tcW w:w="2443" w:type="dxa"/>
          </w:tcPr>
          <w:p w:rsidR="00E71EB8" w:rsidRPr="00333BDE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t>omawia dojrzewanie w wierze na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zykładzie wybranej postaci</w:t>
            </w:r>
          </w:p>
          <w:p w:rsidR="00E71EB8" w:rsidRPr="00333BDE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tość posłuszeństwa Bogu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t>charakteryzuje relacje Bóg – człowiek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drogi poznania Boga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prawidłowo odczytuje obecność i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działanie Boga w świecie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działanie Boga przez Syna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próbę wiary, jakiej doświadczył Abraham na Górze Moria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jak można pracować nad doskonaleniem cnót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teologalnych</w:t>
            </w:r>
            <w:proofErr w:type="spellEnd"/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łączy cnoty kardynalne z wartościami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świadectwo życia jest warunkiem głoszenia Ewangelii</w:t>
            </w:r>
          </w:p>
          <w:p w:rsidR="00E71EB8" w:rsidRPr="002D5096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potrzebę formowania sumienia</w:t>
            </w:r>
          </w:p>
        </w:tc>
        <w:tc>
          <w:tcPr>
            <w:tcW w:w="2836" w:type="dxa"/>
          </w:tcPr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związek wiary chrześcijańskiej z sensem życia człowieka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przymioty Boga na podstawie </w:t>
            </w:r>
            <w:r w:rsidRPr="0066293C">
              <w:rPr>
                <w:rFonts w:ascii="Times New Roman" w:hAnsi="Times New Roman" w:cs="Times New Roman"/>
                <w:i/>
                <w:sz w:val="18"/>
                <w:szCs w:val="18"/>
              </w:rPr>
              <w:t>Pieśni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słonecznej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św. Franciszka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w poznaniu Boga należy uwzględnić ludzkie predyspozycje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czym jest wiara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odkrywa, że Bogu można zaufać, dostrzegając Jego miłość i otwierając się na nią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zasługi Maryi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cnoty kardynalne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konieczność praktykowania różnych form modlitwy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wykazuje konieczność nie poddawania się trudnościom w życiu </w:t>
            </w:r>
          </w:p>
          <w:p w:rsidR="00E71EB8" w:rsidRPr="00A0372F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wiara ma kształtować całe nasze życie</w:t>
            </w:r>
          </w:p>
        </w:tc>
        <w:tc>
          <w:tcPr>
            <w:tcW w:w="2551" w:type="dxa"/>
          </w:tcPr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zna drogi dochodzenia wiary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wymienia przymioty Boga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wyjaśnia, że Bóg jest stwórcą, który chce być poznawany i daje się poznać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podaje znaczenie objawienia na drodze wiary</w:t>
            </w:r>
          </w:p>
          <w:p w:rsidR="00E71EB8" w:rsidRPr="007B358C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zasługi Maryi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zna cnoty </w:t>
            </w:r>
            <w:proofErr w:type="spellStart"/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teologalne</w:t>
            </w:r>
            <w:proofErr w:type="spellEnd"/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zna cnoty kardynalne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charakteryzuje posłuszeństwo na wzór wybranej postaci biblijnej</w:t>
            </w:r>
          </w:p>
          <w:p w:rsidR="00267965" w:rsidRPr="00267965" w:rsidRDefault="00E71EB8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podaje przykłady nawrócenia</w:t>
            </w:r>
            <w:r w:rsidR="002679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Pr="00AC286D" w:rsidRDefault="00267965" w:rsidP="00267965">
            <w:pPr>
              <w:pStyle w:val="Akapitzlist"/>
              <w:numPr>
                <w:ilvl w:val="0"/>
                <w:numId w:val="12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szukania Boga</w:t>
            </w:r>
          </w:p>
        </w:tc>
      </w:tr>
      <w:tr w:rsidR="00E71EB8" w:rsidRPr="002D5096" w:rsidTr="00267965">
        <w:trPr>
          <w:gridAfter w:val="1"/>
          <w:wAfter w:w="710" w:type="dxa"/>
          <w:trHeight w:val="4535"/>
        </w:trPr>
        <w:tc>
          <w:tcPr>
            <w:tcW w:w="1276" w:type="dxa"/>
          </w:tcPr>
          <w:p w:rsidR="00E71EB8" w:rsidRPr="002F0EAC" w:rsidRDefault="00E71EB8" w:rsidP="00267965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 Poznawanie prawdy</w:t>
            </w:r>
          </w:p>
        </w:tc>
        <w:tc>
          <w:tcPr>
            <w:tcW w:w="2263" w:type="dxa"/>
          </w:tcPr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2002">
              <w:rPr>
                <w:rFonts w:ascii="Times New Roman" w:hAnsi="Times New Roman" w:cs="Times New Roman"/>
                <w:sz w:val="18"/>
                <w:szCs w:val="18"/>
              </w:rPr>
              <w:t>wyjaśnia, do czego zobowiązuje przyjaciół Pana Jezusa słowo Boże</w:t>
            </w:r>
          </w:p>
          <w:p w:rsidR="00E71EB8" w:rsidRPr="00CE7BB9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Słowa Bożego w życiu Kościoła</w:t>
            </w:r>
          </w:p>
        </w:tc>
        <w:tc>
          <w:tcPr>
            <w:tcW w:w="2552" w:type="dxa"/>
          </w:tcPr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definiuje formy prawa moralnego (naturalne, objawione, prawa cywilne i kościelne)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podstawy intelektualne oświecenia (deizm, racjonalizm, modernizm)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różnice pomiędzy biblijnym a naukowym sposobem ukazywania prawdy o początkach świata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wykazuje, że Biblia przedstawia prawdę, która jest nam konieczna do zbawienia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harakteryzuje istotę Tradycji i </w:t>
            </w: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formy jej przekazywania</w:t>
            </w:r>
          </w:p>
          <w:p w:rsidR="00E71EB8" w:rsidRPr="00655DE6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argumentuje, że wiara nie jest tylko ideą zawartą w umyśle</w:t>
            </w:r>
          </w:p>
          <w:p w:rsidR="00E71EB8" w:rsidRPr="00457A11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omawia aspekty określające prawdziwą wiarę</w:t>
            </w:r>
          </w:p>
          <w:p w:rsidR="00E71EB8" w:rsidRPr="005C2F87" w:rsidRDefault="00E71EB8" w:rsidP="00267965">
            <w:pPr>
              <w:pStyle w:val="Akapitzlist"/>
              <w:tabs>
                <w:tab w:val="left" w:pos="410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43" w:type="dxa"/>
          </w:tcPr>
          <w:p w:rsidR="00E71EB8" w:rsidRPr="00957A26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skutki przestawienia kłamstwa jako prawdy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sposoby ukazywania prawdy o świecie według Pisma Świętego i nauk przyrodniczych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przesłanie Pisma Świętego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opisuje znaczenie Tradycji Kościoła dla jego działania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wiara wymaga konkretnych uczynków, które ją potwierdzają,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, dlaczego wiara nie jest osobistym wymysłem, ale darem,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wskazuje ogólnie na proces formułowania prawd wiary</w:t>
            </w:r>
          </w:p>
          <w:p w:rsidR="00E71EB8" w:rsidRPr="00457A11" w:rsidRDefault="00957A26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charakteryzuje sposoby działania sekt,</w:t>
            </w:r>
          </w:p>
        </w:tc>
        <w:tc>
          <w:tcPr>
            <w:tcW w:w="2836" w:type="dxa"/>
          </w:tcPr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konsekwencje przedstawienia kłamstwa jako prawdy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jakie prawdy zawiera Pismo Święte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 xml:space="preserve">wyjaśnia, czym jest Tradycja w Kościele </w:t>
            </w:r>
          </w:p>
          <w:p w:rsidR="00E71EB8" w:rsidRPr="00655DE6" w:rsidRDefault="00957A26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E71EB8"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ymienia przymioty charakteryzujące wiarę, </w:t>
            </w:r>
          </w:p>
          <w:p w:rsidR="00957A26" w:rsidRPr="00457A11" w:rsidRDefault="00957A26" w:rsidP="00267965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wymienia, jakie straty społeczne może odnieść przynależnoś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 do grupy zamkniętej (sekty)</w:t>
            </w:r>
          </w:p>
          <w:p w:rsidR="00E71EB8" w:rsidRPr="00CE7BB9" w:rsidRDefault="00E71EB8" w:rsidP="00267965">
            <w:pPr>
              <w:pStyle w:val="Akapitzlist"/>
              <w:tabs>
                <w:tab w:val="left" w:pos="410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sytuacje, w których kłamstwo przedstawia się jako prawdę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Tradycję jako istotny element w życiu Kościoła</w:t>
            </w:r>
          </w:p>
          <w:p w:rsidR="00E71EB8" w:rsidRPr="009E34C6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wskazuje, czym w praktyce Kościoła jest życie według Tradycji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wskazuje, które uczynki wynikają z wiary, a które nie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odróżnia religię od grupy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charakterze zamkniętym (sekty)</w:t>
            </w:r>
          </w:p>
          <w:p w:rsidR="00E71EB8" w:rsidRPr="0052109B" w:rsidRDefault="00E71EB8" w:rsidP="00267965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1EB8" w:rsidRPr="002D5096" w:rsidTr="00267965">
        <w:trPr>
          <w:gridAfter w:val="1"/>
          <w:wAfter w:w="710" w:type="dxa"/>
          <w:trHeight w:val="3969"/>
        </w:trPr>
        <w:tc>
          <w:tcPr>
            <w:tcW w:w="1276" w:type="dxa"/>
          </w:tcPr>
          <w:p w:rsidR="00E71EB8" w:rsidRPr="00B31141" w:rsidRDefault="00E71EB8" w:rsidP="00267965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III. Bóg w dorosłym życiu</w:t>
            </w:r>
          </w:p>
        </w:tc>
        <w:tc>
          <w:tcPr>
            <w:tcW w:w="2263" w:type="dxa"/>
          </w:tcPr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formułuje</w:t>
            </w:r>
            <w:r w:rsidRPr="004B0528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normami wypływającymi z przykazań Dekalogu a postępowaniem człowieka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umiejętnie ocenia relacje</w:t>
            </w:r>
            <w:r w:rsidRPr="004B0528">
              <w:rPr>
                <w:rFonts w:ascii="Times New Roman" w:hAnsi="Times New Roman" w:cs="Times New Roman"/>
                <w:sz w:val="18"/>
                <w:szCs w:val="18"/>
              </w:rPr>
              <w:t xml:space="preserve"> człowieka z Bogiem w świetle I, II i III przykazania Dekalogu</w:t>
            </w:r>
          </w:p>
        </w:tc>
        <w:tc>
          <w:tcPr>
            <w:tcW w:w="2552" w:type="dxa"/>
          </w:tcPr>
          <w:p w:rsidR="00E71EB8" w:rsidRPr="0031242A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formułuje zasady wynikające z faktu, że Bóg jest jeden</w:t>
            </w:r>
          </w:p>
          <w:p w:rsidR="00E71EB8" w:rsidRPr="0031242A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podaje przykłady wpływu zabobonu, bałwochwalstwa, wróżbiarstwa, magii, ateizmu, symonii na relację z Bogiem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fragment </w:t>
            </w: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Księgi Wyjścia 32,31–34, dotyczący złotego cielca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historię Mojże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sza spotykającego Boga w goreją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cym krzaku (</w:t>
            </w:r>
            <w:proofErr w:type="spellStart"/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Wj</w:t>
            </w:r>
            <w:proofErr w:type="spellEnd"/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3,13-15)</w:t>
            </w:r>
          </w:p>
          <w:p w:rsidR="00E71EB8" w:rsidRPr="006B2216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analizuje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fragment Ewangelii Łukaszowej (6,6–10)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uzdrowieniu człowieka z uschniętą ręką </w:t>
            </w:r>
          </w:p>
        </w:tc>
        <w:tc>
          <w:tcPr>
            <w:tcW w:w="2443" w:type="dxa"/>
          </w:tcPr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obowiązki wynikające z przestrzegania I przykazania Bożego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F87">
              <w:rPr>
                <w:rFonts w:ascii="Times New Roman" w:hAnsi="Times New Roman" w:cs="Times New Roman"/>
                <w:sz w:val="18"/>
                <w:szCs w:val="18"/>
              </w:rPr>
              <w:t xml:space="preserve">uzasadnia, iż nie da się pogodzić </w:t>
            </w:r>
            <w:proofErr w:type="spellStart"/>
            <w:r w:rsidRPr="005C2F87">
              <w:rPr>
                <w:rFonts w:ascii="Times New Roman" w:hAnsi="Times New Roman" w:cs="Times New Roman"/>
                <w:sz w:val="18"/>
                <w:szCs w:val="18"/>
              </w:rPr>
              <w:t>ezoteryki</w:t>
            </w:r>
            <w:proofErr w:type="spellEnd"/>
            <w:r w:rsidRPr="005C2F87">
              <w:rPr>
                <w:rFonts w:ascii="Times New Roman" w:hAnsi="Times New Roman" w:cs="Times New Roman"/>
                <w:sz w:val="18"/>
                <w:szCs w:val="18"/>
              </w:rPr>
              <w:t xml:space="preserve"> z wiarą chrześcijańską</w:t>
            </w:r>
          </w:p>
          <w:p w:rsidR="00E71EB8" w:rsidRPr="004546C6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46C6">
              <w:rPr>
                <w:rFonts w:ascii="Times New Roman" w:hAnsi="Times New Roman" w:cs="Times New Roman"/>
                <w:sz w:val="18"/>
                <w:szCs w:val="18"/>
              </w:rPr>
              <w:t>wskazuje sytuacje, w których imię Boga wzywane jest słusznie i te, w 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órych wzywane jest bezzasadnie,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historię Mojżesza spotykającego Boga w gorejącym krzaku (</w:t>
            </w:r>
            <w:proofErr w:type="spellStart"/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Wj</w:t>
            </w:r>
            <w:proofErr w:type="spellEnd"/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3,13-15)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Pr="00C60A37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potrzebę świętowania niedzieli,</w:t>
            </w:r>
          </w:p>
          <w:p w:rsidR="00E71EB8" w:rsidRPr="00D1608A" w:rsidRDefault="00E71EB8" w:rsidP="00267965">
            <w:pPr>
              <w:pStyle w:val="Akapitzlist"/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oddawania czci Jedynemu Bogu</w:t>
            </w:r>
            <w:r w:rsidRPr="005C2F8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współczesne bożki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sytuacje</w:t>
            </w:r>
            <w:r w:rsidRPr="00AB31CF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6B2216">
              <w:rPr>
                <w:rFonts w:ascii="Times New Roman" w:hAnsi="Times New Roman" w:cs="Times New Roman"/>
                <w:sz w:val="18"/>
                <w:szCs w:val="18"/>
              </w:rPr>
              <w:t>których czło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wiek zajmuje</w:t>
            </w:r>
            <w:r w:rsidRPr="00AB31CF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imienia Bożego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 tych, w których człowiek takiej postawy nie zajmuje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odczytuje w świętowaniu niedzieli zachętę do odpoczynku i kontemplacji świata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r w:rsidRPr="00C60A37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fragment Ewangelii Łukaszowej (6,6–10)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uzdrowieniu człowieka z uschniętą ręką</w:t>
            </w:r>
          </w:p>
          <w:p w:rsidR="00E71EB8" w:rsidRPr="00787E2B" w:rsidRDefault="00E71EB8" w:rsidP="00267965">
            <w:pPr>
              <w:pStyle w:val="Akapitzlist"/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przykazania Boże</w:t>
            </w:r>
          </w:p>
          <w:p w:rsidR="00E71EB8" w:rsidRDefault="006B2216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E71EB8">
              <w:rPr>
                <w:rFonts w:ascii="Times New Roman" w:hAnsi="Times New Roman" w:cs="Times New Roman"/>
                <w:sz w:val="18"/>
                <w:szCs w:val="18"/>
              </w:rPr>
              <w:t xml:space="preserve"> czym różni się wiara w Boga od „wiary” we wróżby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wyjaśnia znaczenie biblijnego zakazu tworzenia obrazów i jego reinterpretacji w kontekście objawienia się Boga w Jezusie Chrystusie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potrzebę świętowania niedzieli od potrzeby odpoczynku</w:t>
            </w:r>
          </w:p>
          <w:p w:rsidR="00E71EB8" w:rsidRPr="003823C2" w:rsidRDefault="00E71EB8" w:rsidP="0026796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świętowania niedzieli</w:t>
            </w:r>
          </w:p>
        </w:tc>
      </w:tr>
      <w:tr w:rsidR="00E71EB8" w:rsidRPr="002D5096" w:rsidTr="00267965">
        <w:trPr>
          <w:trHeight w:val="5102"/>
        </w:trPr>
        <w:tc>
          <w:tcPr>
            <w:tcW w:w="1276" w:type="dxa"/>
          </w:tcPr>
          <w:p w:rsidR="00E71EB8" w:rsidRPr="000B38B3" w:rsidRDefault="00E71EB8" w:rsidP="00267965">
            <w:pPr>
              <w:autoSpaceDE w:val="0"/>
              <w:autoSpaceDN w:val="0"/>
              <w:adjustRightInd w:val="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lastRenderedPageBreak/>
              <w:t>IV. Bóg obecny i działający</w:t>
            </w:r>
          </w:p>
        </w:tc>
        <w:tc>
          <w:tcPr>
            <w:tcW w:w="2263" w:type="dxa"/>
          </w:tcPr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wartość </w:t>
            </w: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regularnego uczestnictwa w liturgii Kościoła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wyjaśnienia znaczenie</w:t>
            </w: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sakramentów na każdym etapie rozwoju człowieka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powiązania</w:t>
            </w: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i zależności między sakramentami</w:t>
            </w:r>
          </w:p>
          <w:p w:rsidR="00E71EB8" w:rsidRDefault="00E71EB8" w:rsidP="00267965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E71EB8" w:rsidRPr="00BF1A0A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wyjaśnia działanie Trójcy Świętej w liturgii Kościoła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analizuje i interpretuje obrzędy wtajemniczenia chrześcijańskiego</w:t>
            </w:r>
          </w:p>
          <w:p w:rsidR="00E71EB8" w:rsidRPr="00A57712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omawia liturgię sakramentów uzdrowienia, </w:t>
            </w:r>
          </w:p>
          <w:p w:rsidR="00E71EB8" w:rsidRPr="00A57712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&gt;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świadomie korzysta z sakramentów uzdrowienia</w:t>
            </w:r>
          </w:p>
          <w:p w:rsidR="00E71EB8" w:rsidRPr="00A57712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Interpretuje opowieść o uzdrowieniu kobiety cierpiącej na krwotok (</w:t>
            </w:r>
            <w:proofErr w:type="spellStart"/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Mk</w:t>
            </w:r>
            <w:proofErr w:type="spellEnd"/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5,21-34)</w:t>
            </w:r>
          </w:p>
          <w:p w:rsidR="00E71EB8" w:rsidRPr="00CE58A0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charakteryzuje teologię sakramentów w służbie wspólnoty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uzasadnia twierdzenie, że Eucharystia jest źródłem i szczytem życia Kościoła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interpretuje biblijny nakaz trwania na modlitwie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uzasadnia strukturę Modlitwy Pańskiej i jej siedem próśb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sposoby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przezwyciężania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trudności związanych z modlitwą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uzasadnia, dlaczego Maryja jest wz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orem modlitwy chrześcijańskiej</w:t>
            </w: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Pr="00F8378E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>podaje, co jest fund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amentem i istotą chrześcijaństwa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43" w:type="dxa"/>
          </w:tcPr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opisuje działanie Ducha święteg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w liturgii Kościoła</w:t>
            </w: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26BD">
              <w:rPr>
                <w:rFonts w:ascii="Times New Roman" w:hAnsi="Times New Roman" w:cs="Times New Roman"/>
                <w:sz w:val="18"/>
                <w:szCs w:val="18"/>
              </w:rPr>
              <w:t>zna powiązania i zależności między sakramentami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charakteryzuje sakramenty uzdrowienia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opowieść o uzdrowieniu kobiety cierpiącej na krwotok (</w:t>
            </w:r>
            <w:proofErr w:type="spellStart"/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Mk</w:t>
            </w:r>
            <w:proofErr w:type="spellEnd"/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5,21-34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Pr="00CE58A0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interpretuje teksty obecne w liturgii sakramentów w służbie wspólnoty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, że Eucharystia jest źródłem miłości</w:t>
            </w:r>
          </w:p>
          <w:p w:rsidR="00E71EB8" w:rsidRPr="00CE58A0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strukturę Modlitwy Pańskiej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tłumaczy, dlaczego modlitwa to dialog człowieka z Bogiem</w:t>
            </w:r>
          </w:p>
          <w:p w:rsidR="00E71EB8" w:rsidRPr="00CB1FD6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omawia trudności związane z modlitwą</w:t>
            </w:r>
          </w:p>
          <w:p w:rsidR="00E71EB8" w:rsidRPr="00CB1FD6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analizuje treść modlitwy </w:t>
            </w:r>
            <w:r w:rsidRPr="00CB1FD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Pod Twoją obronę</w:t>
            </w: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E71EB8" w:rsidRPr="00E44494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tłumaczy wstawienniczą rolę Maryi, </w:t>
            </w:r>
          </w:p>
          <w:p w:rsidR="00E71EB8" w:rsidRPr="00A5342C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4297">
              <w:rPr>
                <w:rFonts w:ascii="Times New Roman" w:hAnsi="Times New Roman" w:cs="Times New Roman"/>
                <w:sz w:val="18"/>
                <w:szCs w:val="18"/>
              </w:rPr>
              <w:t>tłumaczy sens i znaczenie zmartwychwstania Chrystusa</w:t>
            </w:r>
          </w:p>
        </w:tc>
        <w:tc>
          <w:tcPr>
            <w:tcW w:w="2836" w:type="dxa"/>
          </w:tcPr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opisuje, na czym polega działanie Boga Ojca w liturgii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obrzędy wtajemniczenia chrześcijańskiego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wymienia sakramenty uzdrowienia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wymienia skutki sakramentu pokuty i pojednania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czynności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obecne w liturgii sakramentów w służbie wspólnoty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podaje argumenty za tym, że Bóg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est obecny w przyjmowanej 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Eucharystii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 xml:space="preserve"> biblijny nakaz trwania na modlitwie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za tym, że trudności związane z modlitwą są możliwe do przezwyciężenia</w:t>
            </w: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podaje argumenty, dlaczego ma wielbić Boga na wzór Maryi</w:t>
            </w: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Pr="00C82D89" w:rsidRDefault="00E71EB8" w:rsidP="00267965">
            <w:pPr>
              <w:pStyle w:val="Akapitzlist"/>
              <w:numPr>
                <w:ilvl w:val="0"/>
                <w:numId w:val="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</w:t>
            </w: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Chrystus otwiera bramy zmarłym przed swoim przyjściem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E71EB8" w:rsidRPr="00AB5EA3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 w:rsidRPr="00AB5EA3">
              <w:rPr>
                <w:rFonts w:cs="Times New Roman"/>
                <w:sz w:val="18"/>
                <w:szCs w:val="18"/>
              </w:rPr>
              <w:t>omawia dzieło Chrystusa w liturgii,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podaje sakramenty wtajemniczenia chrześcijańskiego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zna formułę sakramentu pojednania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podaje powody dla których warto korzystać z sakramentu pokuty i pojednania</w:t>
            </w:r>
            <w:r w:rsidRPr="00A57712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 w:rsidRPr="00A57712">
              <w:rPr>
                <w:rFonts w:cs="Times New Roman"/>
                <w:sz w:val="18"/>
                <w:szCs w:val="18"/>
              </w:rPr>
              <w:t>argumentuje, że każdy człowiek powołany jest do miłości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tłumaczy znaczenie Eucharystii dla życia duchowego człowieka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wyjaśnia </w:t>
            </w:r>
            <w:r w:rsidRPr="00CE58A0">
              <w:rPr>
                <w:rFonts w:cs="Times New Roman"/>
                <w:sz w:val="18"/>
                <w:szCs w:val="18"/>
              </w:rPr>
              <w:t xml:space="preserve"> związek modlitwy z czynami i czynów z modlitwą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wskazuje osoby, które przezwyciężyły trudności związane z modlitwą</w:t>
            </w:r>
          </w:p>
          <w:p w:rsidR="00E71EB8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 w:rsidRPr="00CB1FD6">
              <w:rPr>
                <w:rFonts w:cs="Times New Roman"/>
                <w:sz w:val="18"/>
                <w:szCs w:val="18"/>
              </w:rPr>
              <w:t>charakteryzuje postać Maryi – Służebnicy Pańskiej</w:t>
            </w:r>
          </w:p>
          <w:p w:rsidR="00E71EB8" w:rsidRPr="00387244" w:rsidRDefault="00E71EB8" w:rsidP="00267965">
            <w:pPr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cs="Times New Roman"/>
                <w:sz w:val="18"/>
                <w:szCs w:val="18"/>
              </w:rPr>
            </w:pPr>
            <w:r w:rsidRPr="00E44494">
              <w:rPr>
                <w:rFonts w:cs="Times New Roman"/>
                <w:sz w:val="18"/>
                <w:szCs w:val="18"/>
              </w:rPr>
              <w:t xml:space="preserve">uzasadnia, dlaczego relacja z Jezusem zależy od </w:t>
            </w:r>
            <w:r>
              <w:rPr>
                <w:rFonts w:cs="Times New Roman"/>
                <w:sz w:val="18"/>
                <w:szCs w:val="18"/>
              </w:rPr>
              <w:t>o</w:t>
            </w:r>
            <w:r w:rsidRPr="00E44494">
              <w:rPr>
                <w:rFonts w:cs="Times New Roman"/>
                <w:sz w:val="18"/>
                <w:szCs w:val="18"/>
              </w:rPr>
              <w:t>sobistego zaangażowania w wierze</w:t>
            </w:r>
          </w:p>
        </w:tc>
      </w:tr>
      <w:tr w:rsidR="00E71EB8" w:rsidRPr="002D5096" w:rsidTr="00267965">
        <w:trPr>
          <w:trHeight w:val="3402"/>
        </w:trPr>
        <w:tc>
          <w:tcPr>
            <w:tcW w:w="1276" w:type="dxa"/>
          </w:tcPr>
          <w:p w:rsidR="00E71EB8" w:rsidRPr="003863DA" w:rsidRDefault="00E71EB8" w:rsidP="00267965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lastRenderedPageBreak/>
              <w:t>V. Bóg w Kościele</w:t>
            </w:r>
          </w:p>
        </w:tc>
        <w:tc>
          <w:tcPr>
            <w:tcW w:w="2263" w:type="dxa"/>
          </w:tcPr>
          <w:p w:rsidR="00E71EB8" w:rsidRPr="00FD2A8A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wyjaśnienia konsekwencje religijne i kulturowe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reformacji, Soboru Trydenckiego oraz unii brzeskiej;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i ocenia fakty historyczne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świetle zjawisk we współczesnym Kościele</w:t>
            </w:r>
          </w:p>
          <w:p w:rsidR="00E71EB8" w:rsidRPr="00A524E5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referuje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, jaka była rola Polski jako kraju tolerancji religijnej tak w ujęciu historycznym, jak w nawiązaniu do wizji współczesnej Europy</w:t>
            </w:r>
          </w:p>
          <w:p w:rsidR="00E71EB8" w:rsidRDefault="00E71EB8" w:rsidP="00267965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E71EB8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identyfikuje wieloaspektowe konsekwencje działań reformacji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skutki działań ekumenicznych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wylicza i omawia przejawy reformy katolickiej w XVI wieku</w:t>
            </w:r>
          </w:p>
          <w:p w:rsidR="00E71EB8" w:rsidRPr="00A524E5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interpretuje i uzasadnia swoje stanowisko na temat sytuacji w XVI-wiecznym Kościele w kontekście faktów historycznych związanych z soborem trydenckim oraz osobą kardynała Stanisława Hozjusza </w:t>
            </w:r>
          </w:p>
        </w:tc>
        <w:tc>
          <w:tcPr>
            <w:tcW w:w="2443" w:type="dxa"/>
          </w:tcPr>
          <w:p w:rsidR="00E71EB8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definiuje dary Ducha Świętego oraz owoce Ducha Świętego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tłumaczy potrzebę  życzliwości i szacunku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 chrześcijan innych wyznań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że Kościół pow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inien się reformować</w:t>
            </w:r>
          </w:p>
          <w:p w:rsidR="00E71EB8" w:rsidRPr="0037028D" w:rsidRDefault="00E71EB8" w:rsidP="0026796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referuje konsekwencje soboru trydenckiego</w:t>
            </w:r>
            <w:r w:rsidRPr="00A524E5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E71EB8" w:rsidRPr="000E56E4" w:rsidRDefault="00E71EB8" w:rsidP="00267965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E71EB8" w:rsidRDefault="00E71EB8" w:rsidP="002679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wylicza przyczyny, które doprowadziły do rozwoju ruchu reformacyjnego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potrzebę modyfikacji postaw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chrześcijańsk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ich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w aspekcie otwartości na wzorce osobowe świętych omawia kontekst zwołania soboru trydenckiego </w:t>
            </w:r>
          </w:p>
          <w:p w:rsidR="00E71EB8" w:rsidRPr="000171A6" w:rsidRDefault="00E71EB8" w:rsidP="00267965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E71EB8" w:rsidRPr="00A56DE9" w:rsidRDefault="00E71EB8" w:rsidP="002679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opisuje zjawisko reformacji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co to jest ekumenizm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świętych, którzy mogą stanowić wzorce osobowe dla współczesnych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wylicza podstawowe postanowienia soboru trydenckiego </w:t>
            </w:r>
          </w:p>
          <w:p w:rsidR="00E71EB8" w:rsidRPr="000171A6" w:rsidRDefault="00E71EB8" w:rsidP="00267965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1EB8" w:rsidRPr="002D5096" w:rsidTr="00267965">
        <w:trPr>
          <w:trHeight w:val="4535"/>
        </w:trPr>
        <w:tc>
          <w:tcPr>
            <w:tcW w:w="1276" w:type="dxa"/>
          </w:tcPr>
          <w:p w:rsidR="00E71EB8" w:rsidRPr="00C43CC5" w:rsidRDefault="00E71EB8" w:rsidP="00267965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VI. Bóg w przeżywaniu czasu</w:t>
            </w:r>
          </w:p>
        </w:tc>
        <w:tc>
          <w:tcPr>
            <w:tcW w:w="2263" w:type="dxa"/>
          </w:tcPr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zbawczy charakter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 udziału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 wydarzeniach roku kościelnego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obszerną wiedzę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 na temat polskich zwyczajów i tradycji związanych z obchodami religijnych świąt i uroczystości</w:t>
            </w:r>
          </w:p>
        </w:tc>
        <w:tc>
          <w:tcPr>
            <w:tcW w:w="2552" w:type="dxa"/>
          </w:tcPr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wymienia cechy chrześcijańskiego charakteru   uroczystości Wszystkich Świętych</w:t>
            </w: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>podaje, co na temat Adwentu mówi Katechizm Kościoła katolickiego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tłumaczy religijny wymiar świętowania w domowym kościele Bożego Narodzenia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opisuje sens męki Jezusa, także w jego głębszym wymiarze</w:t>
            </w: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>wymienia obietnice Pana Jezusa związane są ze Świętem Miłosierdzia Bożego</w:t>
            </w:r>
          </w:p>
          <w:p w:rsidR="00E71EB8" w:rsidRPr="000C39E9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dlaczego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przeżywając rok liturgiczny, lepie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 poznajemy prawdy naszej wiary</w:t>
            </w:r>
          </w:p>
        </w:tc>
        <w:tc>
          <w:tcPr>
            <w:tcW w:w="2443" w:type="dxa"/>
          </w:tcPr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, że to wydarzenie chrześcijańskie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>wymienia cechy odróżniające Adwent od 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nych okresów liturgicznych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referuje znaczenie tajemnicy wcielenia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podstawie tekstów liturgicznych</w:t>
            </w: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, dlaczego Jezus musiał cierpieć</w:t>
            </w: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historię powstania Święta Miłosierdzia Bożego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Pr="006F60A3" w:rsidRDefault="00E71EB8" w:rsidP="0026796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opisuje wartość niedzielnej Eucharystii</w:t>
            </w:r>
          </w:p>
        </w:tc>
        <w:tc>
          <w:tcPr>
            <w:tcW w:w="2836" w:type="dxa"/>
          </w:tcPr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opisuje specyfikę Dnia Zadusznego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różnice pomiędzy poszczególnymi częściami adwentu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wyjaśnia, jakie jest znaczenie tajemnicy wcielenia dla człowieka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okresy liturgiczne</w:t>
            </w: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 xml:space="preserve"> przyjmuje, że Jezus umarł za nas wszystkich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sens Bożego miłosierdzia dla ludzi</w:t>
            </w:r>
          </w:p>
          <w:p w:rsidR="00E71EB8" w:rsidRPr="00DD7CDE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znaczenie niedzieli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wyjaśnia, dlaczego należy modlić się za zmarłych</w:t>
            </w: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 xml:space="preserve">wymienia części, na jakie dzieli się Adwent </w:t>
            </w:r>
          </w:p>
          <w:p w:rsidR="00E71EB8" w:rsidRPr="006F60A3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wyjaśnia, jakie jest znaczenie tajemnicy wcielenia dla świata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mękę Jezusa</w:t>
            </w:r>
          </w:p>
          <w:p w:rsidR="00E71EB8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podaje, kiedy obchodzone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jest Święto Miłosierdzia Bożego</w:t>
            </w:r>
          </w:p>
          <w:p w:rsidR="00E71EB8" w:rsidRPr="000C39E9" w:rsidRDefault="00E71EB8" w:rsidP="00267965">
            <w:pPr>
              <w:pStyle w:val="Akapitzlist"/>
              <w:numPr>
                <w:ilvl w:val="0"/>
                <w:numId w:val="1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opisuje, jak należy świętować niedzielę po chrześcijańsku</w:t>
            </w:r>
          </w:p>
        </w:tc>
      </w:tr>
    </w:tbl>
    <w:p w:rsidR="00E71EB8" w:rsidRPr="00DE5AD9" w:rsidRDefault="00E71EB8" w:rsidP="00E71EB8">
      <w:pPr>
        <w:pStyle w:val="Podtytu"/>
        <w:ind w:left="0"/>
        <w:contextualSpacing/>
        <w:jc w:val="both"/>
        <w:rPr>
          <w:b w:val="0"/>
          <w:szCs w:val="22"/>
        </w:rPr>
      </w:pPr>
    </w:p>
    <w:p w:rsidR="00DE32E3" w:rsidRDefault="00DE32E3"/>
    <w:sectPr w:rsidR="00DE32E3" w:rsidSect="00E71E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inion Pro">
    <w:altName w:val="Times New Roman"/>
    <w:panose1 w:val="00000000000000000000"/>
    <w:charset w:val="EE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927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0"/>
  </w:num>
  <w:num w:numId="5">
    <w:abstractNumId w:val="10"/>
  </w:num>
  <w:num w:numId="6">
    <w:abstractNumId w:val="6"/>
  </w:num>
  <w:num w:numId="7">
    <w:abstractNumId w:val="11"/>
  </w:num>
  <w:num w:numId="8">
    <w:abstractNumId w:val="1"/>
  </w:num>
  <w:num w:numId="9">
    <w:abstractNumId w:val="8"/>
  </w:num>
  <w:num w:numId="10">
    <w:abstractNumId w:val="12"/>
  </w:num>
  <w:num w:numId="11">
    <w:abstractNumId w:val="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B8"/>
    <w:rsid w:val="00026D4B"/>
    <w:rsid w:val="000C5FA2"/>
    <w:rsid w:val="00172716"/>
    <w:rsid w:val="00267965"/>
    <w:rsid w:val="00635F0B"/>
    <w:rsid w:val="006A4E05"/>
    <w:rsid w:val="006B2216"/>
    <w:rsid w:val="006B3068"/>
    <w:rsid w:val="00957A26"/>
    <w:rsid w:val="00991679"/>
    <w:rsid w:val="00B37F31"/>
    <w:rsid w:val="00B64F70"/>
    <w:rsid w:val="00CA2872"/>
    <w:rsid w:val="00DE32E3"/>
    <w:rsid w:val="00E12D05"/>
    <w:rsid w:val="00E71EB8"/>
    <w:rsid w:val="00F7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086D2"/>
  <w15:chartTrackingRefBased/>
  <w15:docId w15:val="{11115C53-6975-4E87-B93B-A198C855B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FA2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E71EB8"/>
    <w:pPr>
      <w:spacing w:after="0" w:line="240" w:lineRule="auto"/>
      <w:ind w:left="180"/>
      <w:jc w:val="center"/>
    </w:pPr>
    <w:rPr>
      <w:rFonts w:eastAsia="Times New Roman" w:cs="Times New Roman"/>
      <w:b/>
      <w:bCs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E71EB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71EB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71EB8"/>
    <w:pPr>
      <w:ind w:left="720"/>
      <w:contextualSpacing/>
    </w:pPr>
    <w:rPr>
      <w:rFonts w:asciiTheme="minorHAnsi" w:eastAsiaTheme="minorEastAsia" w:hAnsiTheme="minorHAnsi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2421</Words>
  <Characters>14532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4</cp:revision>
  <dcterms:created xsi:type="dcterms:W3CDTF">2025-09-05T13:50:00Z</dcterms:created>
  <dcterms:modified xsi:type="dcterms:W3CDTF">2025-09-05T15:44:00Z</dcterms:modified>
</cp:coreProperties>
</file>